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2" w:sz="0" w:val="none"/>
          <w:left w:color="auto" w:space="0" w:sz="0" w:val="none"/>
          <w:bottom w:color="auto" w:space="2" w:sz="0" w:val="none"/>
          <w:right w:color="auto" w:space="0" w:sz="0" w:val="none"/>
          <w:between w:color="auto" w:space="2" w:sz="0" w:val="none"/>
        </w:pBdr>
        <w:rPr>
          <w:b w:val="1"/>
          <w:color w:val="000422"/>
          <w:sz w:val="24"/>
          <w:szCs w:val="24"/>
        </w:rPr>
      </w:pPr>
      <w:r w:rsidDel="00000000" w:rsidR="00000000" w:rsidRPr="00000000">
        <w:rPr>
          <w:b w:val="1"/>
          <w:color w:val="000422"/>
          <w:sz w:val="24"/>
          <w:szCs w:val="24"/>
          <w:rtl w:val="0"/>
        </w:rPr>
        <w:t xml:space="preserve">Процедура согласования вывески.</w:t>
      </w:r>
    </w:p>
    <w:p w:rsidR="00000000" w:rsidDel="00000000" w:rsidP="00000000" w:rsidRDefault="00000000" w:rsidRPr="00000000" w14:paraId="00000002">
      <w:pPr>
        <w:pBdr>
          <w:top w:color="auto" w:space="2" w:sz="0" w:val="none"/>
          <w:left w:color="auto" w:space="0" w:sz="0" w:val="none"/>
          <w:bottom w:color="auto" w:space="2" w:sz="0" w:val="none"/>
          <w:right w:color="auto" w:space="0" w:sz="0" w:val="none"/>
          <w:between w:color="auto" w:space="2" w:sz="0" w:val="none"/>
        </w:pBdr>
        <w:rPr>
          <w:color w:val="000422"/>
          <w:sz w:val="24"/>
          <w:szCs w:val="24"/>
          <w:u w:val="single"/>
        </w:rPr>
      </w:pPr>
      <w:r w:rsidDel="00000000" w:rsidR="00000000" w:rsidRPr="00000000">
        <w:rPr>
          <w:color w:val="000422"/>
          <w:sz w:val="24"/>
          <w:szCs w:val="24"/>
          <w:u w:val="single"/>
          <w:rtl w:val="0"/>
        </w:rPr>
        <w:t xml:space="preserve">Список документов:</w:t>
      </w:r>
    </w:p>
    <w:p w:rsidR="00000000" w:rsidDel="00000000" w:rsidP="00000000" w:rsidRDefault="00000000" w:rsidRPr="00000000" w14:paraId="00000003">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Копия свидетельства о регистрации предпринимателя/ООО и копия документа, подтверждающего личность заявителя,</w:t>
      </w:r>
    </w:p>
    <w:p w:rsidR="00000000" w:rsidDel="00000000" w:rsidP="00000000" w:rsidRDefault="00000000" w:rsidRPr="00000000" w14:paraId="00000004">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Дизайн-макет и проектная документация рекламной конструкции (</w:t>
      </w:r>
      <w:r w:rsidDel="00000000" w:rsidR="00000000" w:rsidRPr="00000000">
        <w:rPr>
          <w:b w:val="1"/>
          <w:color w:val="000422"/>
          <w:sz w:val="24"/>
          <w:szCs w:val="24"/>
          <w:highlight w:val="white"/>
          <w:rtl w:val="0"/>
        </w:rPr>
        <w:t xml:space="preserve">обратите внимание:</w:t>
      </w:r>
      <w:r w:rsidDel="00000000" w:rsidR="00000000" w:rsidRPr="00000000">
        <w:rPr>
          <w:color w:val="000422"/>
          <w:sz w:val="24"/>
          <w:szCs w:val="24"/>
          <w:highlight w:val="white"/>
          <w:rtl w:val="0"/>
        </w:rPr>
        <w:t xml:space="preserve"> это не картинка, которую делает дизайнер, а пакет документов по госстандарту, выполненный проектной мастерской, имеющей разрешение на такой вид работ, стоимость проекта зависит от вида вывески и места установки),</w:t>
      </w:r>
    </w:p>
    <w:p w:rsidR="00000000" w:rsidDel="00000000" w:rsidP="00000000" w:rsidRDefault="00000000" w:rsidRPr="00000000" w14:paraId="00000005">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Копия документов, подтверждающих право собственности на объект, где будет установлена вывеска либо копия свидетельства о праве владения помещения/земли от собственника,</w:t>
      </w:r>
    </w:p>
    <w:p w:rsidR="00000000" w:rsidDel="00000000" w:rsidP="00000000" w:rsidRDefault="00000000" w:rsidRPr="00000000" w14:paraId="00000006">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Договор об аренде с собственником недвижимости, где будет установлена вывеска и его письменное согласие на установку,</w:t>
      </w:r>
    </w:p>
    <w:p w:rsidR="00000000" w:rsidDel="00000000" w:rsidP="00000000" w:rsidRDefault="00000000" w:rsidRPr="00000000" w14:paraId="00000007">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000422"/>
          <w:sz w:val="24"/>
          <w:szCs w:val="24"/>
          <w:highlight w:val="white"/>
          <w:rtl w:val="0"/>
        </w:rPr>
        <w:t xml:space="preserve">- Заявление на имя руководителя администрации.</w:t>
      </w:r>
    </w:p>
    <w:p w:rsidR="00000000" w:rsidDel="00000000" w:rsidP="00000000" w:rsidRDefault="00000000" w:rsidRPr="00000000" w14:paraId="00000008">
      <w:pPr>
        <w:pBdr>
          <w:top w:color="auto" w:space="2" w:sz="0" w:val="none"/>
          <w:left w:color="auto" w:space="0" w:sz="0" w:val="none"/>
          <w:bottom w:color="auto" w:space="2" w:sz="0" w:val="none"/>
          <w:right w:color="auto" w:space="0" w:sz="0" w:val="none"/>
          <w:between w:color="auto" w:space="2" w:sz="0" w:val="none"/>
        </w:pBdr>
        <w:rPr>
          <w:color w:val="000422"/>
          <w:sz w:val="24"/>
          <w:szCs w:val="24"/>
          <w:highlight w:val="white"/>
        </w:rPr>
      </w:pPr>
      <w:r w:rsidDel="00000000" w:rsidR="00000000" w:rsidRPr="00000000">
        <w:rPr>
          <w:color w:val="242424"/>
          <w:sz w:val="24"/>
          <w:szCs w:val="24"/>
          <w:rtl w:val="0"/>
        </w:rPr>
        <w:t xml:space="preserve">К пакету документов необходимо приложить квитанцию об уплате госпошлины, 5 000 рублей для Краснодара.</w:t>
      </w:r>
      <w:r w:rsidDel="00000000" w:rsidR="00000000" w:rsidRPr="00000000">
        <w:rPr>
          <w:rtl w:val="0"/>
        </w:rPr>
      </w:r>
    </w:p>
    <w:p w:rsidR="00000000" w:rsidDel="00000000" w:rsidP="00000000" w:rsidRDefault="00000000" w:rsidRPr="00000000" w14:paraId="00000009">
      <w:pPr>
        <w:pBdr>
          <w:top w:color="auto" w:space="2" w:sz="0" w:val="none"/>
          <w:left w:color="auto" w:space="0" w:sz="0" w:val="none"/>
          <w:bottom w:color="auto" w:space="2" w:sz="0" w:val="none"/>
          <w:right w:color="auto" w:space="0" w:sz="0" w:val="none"/>
          <w:between w:color="auto" w:space="2" w:sz="0" w:val="none"/>
        </w:pBdr>
        <w:rPr>
          <w:color w:val="242424"/>
          <w:sz w:val="24"/>
          <w:szCs w:val="24"/>
        </w:rPr>
      </w:pPr>
      <w:r w:rsidDel="00000000" w:rsidR="00000000" w:rsidRPr="00000000">
        <w:rPr>
          <w:sz w:val="24"/>
          <w:szCs w:val="24"/>
          <w:rtl w:val="0"/>
        </w:rPr>
        <w:t xml:space="preserve">Принять заявку могут в </w:t>
      </w:r>
      <w:r w:rsidDel="00000000" w:rsidR="00000000" w:rsidRPr="00000000">
        <w:rPr>
          <w:sz w:val="24"/>
          <w:szCs w:val="24"/>
          <w:highlight w:val="white"/>
          <w:rtl w:val="0"/>
        </w:rPr>
        <w:t xml:space="preserve">Д</w:t>
      </w:r>
      <w:r w:rsidDel="00000000" w:rsidR="00000000" w:rsidRPr="00000000">
        <w:rPr>
          <w:sz w:val="24"/>
          <w:szCs w:val="24"/>
          <w:highlight w:val="white"/>
          <w:rtl w:val="0"/>
        </w:rPr>
        <w:t xml:space="preserve">епартаменте архитектуры и градостроительства Краснодара</w:t>
      </w:r>
      <w:r w:rsidDel="00000000" w:rsidR="00000000" w:rsidRPr="00000000">
        <w:rPr>
          <w:sz w:val="24"/>
          <w:szCs w:val="24"/>
          <w:rtl w:val="0"/>
        </w:rPr>
        <w:t xml:space="preserve"> или </w:t>
      </w:r>
      <w:r w:rsidDel="00000000" w:rsidR="00000000" w:rsidRPr="00000000">
        <w:rPr>
          <w:color w:val="242424"/>
          <w:sz w:val="24"/>
          <w:szCs w:val="24"/>
          <w:rtl w:val="0"/>
        </w:rPr>
        <w:t xml:space="preserve">МФЦ.</w:t>
      </w:r>
    </w:p>
    <w:p w:rsidR="00000000" w:rsidDel="00000000" w:rsidP="00000000" w:rsidRDefault="00000000" w:rsidRPr="00000000" w14:paraId="0000000A">
      <w:pPr>
        <w:pBdr>
          <w:top w:color="auto" w:space="2" w:sz="0" w:val="none"/>
          <w:left w:color="auto" w:space="0" w:sz="0" w:val="none"/>
          <w:bottom w:color="auto" w:space="2" w:sz="0" w:val="none"/>
          <w:right w:color="auto" w:space="0" w:sz="0" w:val="none"/>
          <w:between w:color="auto" w:space="2" w:sz="0" w:val="none"/>
        </w:pBdr>
        <w:rPr>
          <w:color w:val="242424"/>
          <w:sz w:val="24"/>
          <w:szCs w:val="24"/>
        </w:rPr>
      </w:pPr>
      <w:r w:rsidDel="00000000" w:rsidR="00000000" w:rsidRPr="00000000">
        <w:rPr>
          <w:color w:val="242424"/>
          <w:sz w:val="24"/>
          <w:szCs w:val="24"/>
          <w:rtl w:val="0"/>
        </w:rPr>
        <w:t xml:space="preserve">Срок рассмотрения заявки до 30 календарных дней.</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79.20000000000005" w:lineRule="auto"/>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379.20000000000005" w:lineRule="auto"/>
        <w:rPr>
          <w:b w:val="1"/>
          <w:sz w:val="24"/>
          <w:szCs w:val="24"/>
        </w:rPr>
      </w:pPr>
      <w:r w:rsidDel="00000000" w:rsidR="00000000" w:rsidRPr="00000000">
        <w:rPr>
          <w:b w:val="1"/>
          <w:sz w:val="24"/>
          <w:szCs w:val="24"/>
          <w:rtl w:val="0"/>
        </w:rPr>
        <w:t xml:space="preserve">Технические требования.</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rtl w:val="0"/>
        </w:rPr>
        <w:t xml:space="preserve">1. </w:t>
      </w:r>
      <w:r w:rsidDel="00000000" w:rsidR="00000000" w:rsidRPr="00000000">
        <w:rPr>
          <w:sz w:val="24"/>
          <w:szCs w:val="24"/>
          <w:u w:val="single"/>
          <w:rtl w:val="0"/>
        </w:rPr>
        <w:t xml:space="preserve">В</w:t>
      </w:r>
      <w:r w:rsidDel="00000000" w:rsidR="00000000" w:rsidRPr="00000000">
        <w:rPr>
          <w:sz w:val="24"/>
          <w:szCs w:val="24"/>
          <w:u w:val="single"/>
          <w:rtl w:val="0"/>
        </w:rPr>
        <w:t xml:space="preserve">ывески из отдельных букв и логотипов и плоские вывески на непрозрачной основе.</w:t>
      </w:r>
      <w:r w:rsidDel="00000000" w:rsidR="00000000" w:rsidRPr="00000000">
        <w:rPr>
          <w:sz w:val="24"/>
          <w:szCs w:val="24"/>
          <w:rtl w:val="0"/>
        </w:rPr>
        <w:t xml:space="preserve"> Вывески таких типов размещаются над входом, между первым и вторым этажами (если занимаемый этаж – первый), над окнами соответствующего этажа, где расположено занимаемое помещение (если занимаемый этаж – не первый), либо в местах, предусмотренных первоначальным архитектурным решением рассматриваемого объекта.</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rtl w:val="0"/>
        </w:rPr>
        <w:t xml:space="preserve">Максимальная площадь всех вывесок на одном здании, строении, сооружении не может превышать:</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rtl w:val="0"/>
        </w:rPr>
        <w:t xml:space="preserve">- 10% от общей площади фасада здания, строения, сооружения, в случае если площадь такого фасада менее 50 кв. м;</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rtl w:val="0"/>
        </w:rPr>
        <w:t xml:space="preserve">- 5 – 10% от общей площади фасада здания, строения, сооружения, в случае если площадь такого фасада составляет от 50 до 100 кв. м;</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rtl w:val="0"/>
        </w:rPr>
        <w:t xml:space="preserve">- 3 – 5% от общей площади фасада здания, строения, сооружения, в случае если площадь такого фасада составляет более 100 кв. м.</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u w:val="single"/>
        </w:rPr>
      </w:pPr>
      <w:r w:rsidDel="00000000" w:rsidR="00000000" w:rsidRPr="00000000">
        <w:rPr>
          <w:sz w:val="24"/>
          <w:szCs w:val="24"/>
          <w:highlight w:val="white"/>
          <w:rtl w:val="0"/>
        </w:rPr>
        <w:t xml:space="preserve">2. </w:t>
      </w:r>
      <w:r w:rsidDel="00000000" w:rsidR="00000000" w:rsidRPr="00000000">
        <w:rPr>
          <w:sz w:val="24"/>
          <w:szCs w:val="24"/>
          <w:highlight w:val="white"/>
          <w:u w:val="single"/>
          <w:rtl w:val="0"/>
        </w:rPr>
        <w:t xml:space="preserve">Рекламная конструкция на остановочной павильоне.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highlight w:val="white"/>
          <w:rtl w:val="0"/>
        </w:rPr>
        <w:t xml:space="preserve">Допускаются плоскости с размером информационного поля до 1,2 x 1,8 м.</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rtl w:val="0"/>
        </w:rPr>
        <w:t xml:space="preserve">3.</w:t>
      </w:r>
      <w:r w:rsidDel="00000000" w:rsidR="00000000" w:rsidRPr="00000000">
        <w:rPr>
          <w:sz w:val="24"/>
          <w:szCs w:val="24"/>
          <w:rtl w:val="0"/>
        </w:rPr>
        <w:t xml:space="preserve"> </w:t>
      </w:r>
      <w:r w:rsidDel="00000000" w:rsidR="00000000" w:rsidRPr="00000000">
        <w:rPr>
          <w:sz w:val="24"/>
          <w:szCs w:val="24"/>
          <w:highlight w:val="white"/>
          <w:u w:val="single"/>
          <w:rtl w:val="0"/>
        </w:rPr>
        <w:t xml:space="preserve">И</w:t>
      </w:r>
      <w:r w:rsidDel="00000000" w:rsidR="00000000" w:rsidRPr="00000000">
        <w:rPr>
          <w:sz w:val="24"/>
          <w:szCs w:val="24"/>
          <w:highlight w:val="white"/>
          <w:u w:val="single"/>
          <w:rtl w:val="0"/>
        </w:rPr>
        <w:t xml:space="preserve">нформационный стенд</w:t>
      </w:r>
      <w:r w:rsidDel="00000000" w:rsidR="00000000" w:rsidRPr="00000000">
        <w:rPr>
          <w:sz w:val="24"/>
          <w:szCs w:val="24"/>
          <w:highlight w:val="white"/>
          <w:rtl w:val="0"/>
        </w:rPr>
        <w:t xml:space="preserve"> (рекламная конструкция малого формата, присоединяемая к земельному участку, имеющая 2 или 4 информационные поверхности).</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Размер каждого информационного поля может составлять 1,2 x 1,2 м или 2,4 x 1,2 м, может иметь одностороннее электронное табло, размеры видимой части которого составляют 1,28 х 0,48 м.</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4. </w:t>
      </w:r>
      <w:r w:rsidDel="00000000" w:rsidR="00000000" w:rsidRPr="00000000">
        <w:rPr>
          <w:sz w:val="24"/>
          <w:szCs w:val="24"/>
          <w:highlight w:val="white"/>
          <w:u w:val="single"/>
          <w:rtl w:val="0"/>
        </w:rPr>
        <w:t xml:space="preserve">Афишный стенд</w:t>
      </w:r>
      <w:r w:rsidDel="00000000" w:rsidR="00000000" w:rsidRPr="00000000">
        <w:rPr>
          <w:sz w:val="24"/>
          <w:szCs w:val="24"/>
          <w:highlight w:val="white"/>
          <w:rtl w:val="0"/>
        </w:rPr>
        <w:t xml:space="preserve"> (рекламная конструкция с одним или двумя информационными полями с внешним подсветом или без него).</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Размер каждого информационного поля может составлять 2,4 x 1,7 м или 4,8 x 1,7 м, или 7,2 x 1,7 м, или 9,6 x 1,7 м.</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На таких конструкциях разрешено размещать информацию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5. </w:t>
      </w:r>
      <w:r w:rsidDel="00000000" w:rsidR="00000000" w:rsidRPr="00000000">
        <w:rPr>
          <w:sz w:val="24"/>
          <w:szCs w:val="24"/>
          <w:highlight w:val="white"/>
          <w:u w:val="single"/>
          <w:rtl w:val="0"/>
        </w:rPr>
        <w:t xml:space="preserve">Афишная тумба</w:t>
      </w:r>
      <w:r w:rsidDel="00000000" w:rsidR="00000000" w:rsidRPr="00000000">
        <w:rPr>
          <w:sz w:val="24"/>
          <w:szCs w:val="24"/>
          <w:highlight w:val="white"/>
          <w:rtl w:val="0"/>
        </w:rPr>
        <w:t xml:space="preserve"> (рекламная конструкция малого формата цилиндрической или квадратной формы с внутренним или внешним подсветом и (или) размещением табло с бегущей строкой).</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Размер информационного поля может составлять 1,34 x 2,89 м. На таких конструкциях разрешено размещать информацию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6. </w:t>
      </w:r>
      <w:r w:rsidDel="00000000" w:rsidR="00000000" w:rsidRPr="00000000">
        <w:rPr>
          <w:sz w:val="24"/>
          <w:szCs w:val="24"/>
          <w:highlight w:val="white"/>
          <w:u w:val="single"/>
          <w:rtl w:val="0"/>
        </w:rPr>
        <w:t xml:space="preserve">Пиллар.</w:t>
      </w:r>
      <w:r w:rsidDel="00000000" w:rsidR="00000000" w:rsidRPr="00000000">
        <w:rPr>
          <w:sz w:val="24"/>
          <w:szCs w:val="24"/>
          <w:highlight w:val="white"/>
          <w:rtl w:val="0"/>
        </w:rPr>
        <w:t xml:space="preserve"> Рекламная конструкция малого формата (трехгранная тумба), с тремя информационными полями, размер каждого из которых не более 1,4 x 3,0 м, с внутренним подсветом, присоединяемая к земельному участку и состоящая из основания, каркаса и рекламных поверхностей вогнутой формы.</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7. </w:t>
      </w:r>
      <w:r w:rsidDel="00000000" w:rsidR="00000000" w:rsidRPr="00000000">
        <w:rPr>
          <w:sz w:val="24"/>
          <w:szCs w:val="24"/>
          <w:highlight w:val="white"/>
          <w:u w:val="single"/>
          <w:rtl w:val="0"/>
        </w:rPr>
        <w:t xml:space="preserve">Пилон.</w:t>
      </w:r>
      <w:r w:rsidDel="00000000" w:rsidR="00000000" w:rsidRPr="00000000">
        <w:rPr>
          <w:sz w:val="24"/>
          <w:szCs w:val="24"/>
          <w:highlight w:val="white"/>
          <w:rtl w:val="0"/>
        </w:rPr>
        <w:t xml:space="preserve"> Двухсторонняя рекламная конструкция малого формата с внутренним подсветом, двумя подвижными или неподвижными информационными полями, размер каждого из которых составляет 1,2 x 1,8 м, присоединяемая к земельному участку.</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8. </w:t>
      </w:r>
      <w:r w:rsidDel="00000000" w:rsidR="00000000" w:rsidRPr="00000000">
        <w:rPr>
          <w:sz w:val="24"/>
          <w:szCs w:val="24"/>
          <w:highlight w:val="white"/>
          <w:u w:val="single"/>
          <w:rtl w:val="0"/>
        </w:rPr>
        <w:t xml:space="preserve">Сити-борд.</w:t>
      </w:r>
      <w:r w:rsidDel="00000000" w:rsidR="00000000" w:rsidRPr="00000000">
        <w:rPr>
          <w:sz w:val="24"/>
          <w:szCs w:val="24"/>
          <w:highlight w:val="white"/>
          <w:rtl w:val="0"/>
        </w:rPr>
        <w:t xml:space="preserve"> Рекламная конструкция среднего формата с внутренним подсветом, присоединяемая к земельному участку, имеющая одну или две поверхности для размещения рекламы, размер каждой составляет 3,7 x 2,7 м, состоящая из фундамента, каркаса, опоры и информационного поля.</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9. </w:t>
      </w:r>
      <w:r w:rsidDel="00000000" w:rsidR="00000000" w:rsidRPr="00000000">
        <w:rPr>
          <w:sz w:val="24"/>
          <w:szCs w:val="24"/>
          <w:highlight w:val="white"/>
          <w:u w:val="single"/>
          <w:rtl w:val="0"/>
        </w:rPr>
        <w:t xml:space="preserve">Щит 6 x 3 м.</w:t>
      </w:r>
      <w:r w:rsidDel="00000000" w:rsidR="00000000" w:rsidRPr="00000000">
        <w:rPr>
          <w:sz w:val="24"/>
          <w:szCs w:val="24"/>
          <w:highlight w:val="white"/>
          <w:rtl w:val="0"/>
        </w:rPr>
        <w:t xml:space="preserve"> Рекламная конструкция среднего формата, присоединяемая к земельному участку, имеющая одну или две внешние поверхности (информационное поле) размером 6 x 3 м, специально предназначенные для размещения рекламы, оборудованная внешним подсветом, состоящая из фундамента, каркаса, опоры и информационного поля.</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10. </w:t>
      </w:r>
      <w:r w:rsidDel="00000000" w:rsidR="00000000" w:rsidRPr="00000000">
        <w:rPr>
          <w:sz w:val="24"/>
          <w:szCs w:val="24"/>
          <w:highlight w:val="white"/>
          <w:u w:val="single"/>
          <w:rtl w:val="0"/>
        </w:rPr>
        <w:t xml:space="preserve">Суперсайт.</w:t>
      </w:r>
      <w:r w:rsidDel="00000000" w:rsidR="00000000" w:rsidRPr="00000000">
        <w:rPr>
          <w:sz w:val="24"/>
          <w:szCs w:val="24"/>
          <w:highlight w:val="white"/>
          <w:rtl w:val="0"/>
        </w:rPr>
        <w:t xml:space="preserve"> Рекламная конструкция большого формата, присоединяемая к земельному участку, имеющая не более трех внешних поверхностей, специально предназначенных для размещения рекламы, размер каждой из которых может составлять 15 x 5 м, или 12 x 4 м, или 12 x 5 м, оборудованная </w:t>
      </w:r>
      <w:r w:rsidDel="00000000" w:rsidR="00000000" w:rsidRPr="00000000">
        <w:rPr>
          <w:sz w:val="24"/>
          <w:szCs w:val="24"/>
          <w:highlight w:val="white"/>
          <w:rtl w:val="0"/>
        </w:rPr>
        <w:t xml:space="preserve">подсветом</w:t>
      </w:r>
      <w:r w:rsidDel="00000000" w:rsidR="00000000" w:rsidRPr="00000000">
        <w:rPr>
          <w:sz w:val="24"/>
          <w:szCs w:val="24"/>
          <w:highlight w:val="white"/>
          <w:rtl w:val="0"/>
        </w:rPr>
        <w:t xml:space="preserve">, состоящая из фундамента, каркаса, опоры и информационного поля.</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11.</w:t>
      </w:r>
      <w:r w:rsidDel="00000000" w:rsidR="00000000" w:rsidRPr="00000000">
        <w:rPr>
          <w:sz w:val="24"/>
          <w:szCs w:val="24"/>
          <w:highlight w:val="white"/>
          <w:u w:val="single"/>
          <w:rtl w:val="0"/>
        </w:rPr>
        <w:t xml:space="preserve"> Светодиодный экран на опоре.</w:t>
      </w:r>
      <w:r w:rsidDel="00000000" w:rsidR="00000000" w:rsidRPr="00000000">
        <w:rPr>
          <w:sz w:val="24"/>
          <w:szCs w:val="24"/>
          <w:highlight w:val="white"/>
          <w:rtl w:val="0"/>
        </w:rPr>
        <w:t xml:space="preserve"> Рекламная конструкция, присоединяемая к земельному участку,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12. </w:t>
      </w:r>
      <w:r w:rsidDel="00000000" w:rsidR="00000000" w:rsidRPr="00000000">
        <w:rPr>
          <w:sz w:val="24"/>
          <w:szCs w:val="24"/>
          <w:highlight w:val="white"/>
          <w:u w:val="single"/>
          <w:rtl w:val="0"/>
        </w:rPr>
        <w:t xml:space="preserve">Светодиодный экран на здании.</w:t>
      </w:r>
      <w:r w:rsidDel="00000000" w:rsidR="00000000" w:rsidRPr="00000000">
        <w:rPr>
          <w:sz w:val="24"/>
          <w:szCs w:val="24"/>
          <w:highlight w:val="white"/>
          <w:rtl w:val="0"/>
        </w:rPr>
        <w:t xml:space="preserve"> Рекламная конструкция, размещаемая на поверхности стен нежилых зданий или на крыше, состоящая из электронно-светового оборудования, позволяющего демонстрировать информационные материалы, размер которой определяется индивидуально на основании проекта в зависимости от архитектуры здания и окружающих архитектурных стилевых ансамблей.</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13.</w:t>
      </w:r>
      <w:r w:rsidDel="00000000" w:rsidR="00000000" w:rsidRPr="00000000">
        <w:rPr>
          <w:sz w:val="24"/>
          <w:szCs w:val="24"/>
          <w:highlight w:val="white"/>
          <w:u w:val="single"/>
          <w:rtl w:val="0"/>
        </w:rPr>
        <w:t xml:space="preserve"> Крышная рекламная конструкция в виде отдельных букв и логотипов. </w:t>
      </w:r>
      <w:r w:rsidDel="00000000" w:rsidR="00000000" w:rsidRPr="00000000">
        <w:rPr>
          <w:sz w:val="24"/>
          <w:szCs w:val="24"/>
          <w:highlight w:val="white"/>
          <w:rtl w:val="0"/>
        </w:rPr>
        <w:t xml:space="preserve">Рекламная конструкция, размещаемая полностью или частично 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расчетным путем в проектной документации;</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14.</w:t>
      </w:r>
      <w:r w:rsidDel="00000000" w:rsidR="00000000" w:rsidRPr="00000000">
        <w:rPr>
          <w:sz w:val="24"/>
          <w:szCs w:val="24"/>
          <w:highlight w:val="white"/>
          <w:u w:val="single"/>
          <w:rtl w:val="0"/>
        </w:rPr>
        <w:t xml:space="preserve"> Панель-кронштейн.</w:t>
      </w:r>
      <w:r w:rsidDel="00000000" w:rsidR="00000000" w:rsidRPr="00000000">
        <w:rPr>
          <w:sz w:val="24"/>
          <w:szCs w:val="24"/>
          <w:highlight w:val="white"/>
          <w:rtl w:val="0"/>
        </w:rPr>
        <w:t xml:space="preserve"> Плоскостная или объемно-пространственная рекламная конструкция малого формата, имеющая одно или два информационных поля, площадь каждого из которых не более 1 кв. м, устанавливаемая на фасаде здания, входных группах, может быть оборудована внутренним подсветом и системой аварийного отключения от сети электропитания, информация должна быть статичной, цвет </w:t>
      </w:r>
      <w:r w:rsidDel="00000000" w:rsidR="00000000" w:rsidRPr="00000000">
        <w:rPr>
          <w:sz w:val="24"/>
          <w:szCs w:val="24"/>
          <w:highlight w:val="white"/>
          <w:rtl w:val="0"/>
        </w:rPr>
        <w:t xml:space="preserve">статичного</w:t>
      </w:r>
      <w:r w:rsidDel="00000000" w:rsidR="00000000" w:rsidRPr="00000000">
        <w:rPr>
          <w:sz w:val="24"/>
          <w:szCs w:val="24"/>
          <w:highlight w:val="white"/>
          <w:rtl w:val="0"/>
        </w:rPr>
        <w:t xml:space="preserve"> свечения должен быть монохромным и единым в границах фасадов зданий в пределах квартала, рекомендуемый цвет свечения - белый.</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sz w:val="24"/>
          <w:szCs w:val="24"/>
          <w:highlight w:val="white"/>
          <w:rtl w:val="0"/>
        </w:rPr>
        <w:t xml:space="preserve">15. </w:t>
      </w:r>
      <w:r w:rsidDel="00000000" w:rsidR="00000000" w:rsidRPr="00000000">
        <w:rPr>
          <w:sz w:val="24"/>
          <w:szCs w:val="24"/>
          <w:highlight w:val="white"/>
          <w:u w:val="single"/>
          <w:rtl w:val="0"/>
        </w:rPr>
        <w:t xml:space="preserve">Медиафасад.</w:t>
      </w:r>
      <w:r w:rsidDel="00000000" w:rsidR="00000000" w:rsidRPr="00000000">
        <w:rPr>
          <w:sz w:val="24"/>
          <w:szCs w:val="24"/>
          <w:highlight w:val="white"/>
          <w:rtl w:val="0"/>
        </w:rPr>
        <w:t xml:space="preserve"> Рекламная конструкция, размещаемая на поверхности стен нежилых зданий, строений, состоящая из электронно-светового оборудования, позволяющего демонстрировать информационные материалы, имеющая от 1 до 3 информационных полей, размер которых определяется индивидуально, в зависимости от архитектуры здания.</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276" w:lineRule="auto"/>
        <w:rPr>
          <w:b w:val="1"/>
          <w:sz w:val="24"/>
          <w:szCs w:val="24"/>
          <w:highlight w:val="white"/>
        </w:rPr>
      </w:pPr>
      <w:r w:rsidDel="00000000" w:rsidR="00000000" w:rsidRPr="00000000">
        <w:rPr>
          <w:b w:val="1"/>
          <w:sz w:val="24"/>
          <w:szCs w:val="24"/>
          <w:highlight w:val="white"/>
          <w:rtl w:val="0"/>
        </w:rPr>
        <w:t xml:space="preserve">Особые требования.</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highlight w:val="white"/>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rtl w:val="0"/>
        </w:rPr>
        <w:t xml:space="preserve">1. Не допускаются о</w:t>
      </w:r>
      <w:r w:rsidDel="00000000" w:rsidR="00000000" w:rsidRPr="00000000">
        <w:rPr>
          <w:sz w:val="24"/>
          <w:szCs w:val="24"/>
          <w:rtl w:val="0"/>
        </w:rPr>
        <w:t xml:space="preserve">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rtl w:val="0"/>
        </w:rPr>
        <w:t xml:space="preserve">2. </w:t>
      </w:r>
      <w:r w:rsidDel="00000000" w:rsidR="00000000" w:rsidRPr="00000000">
        <w:rPr>
          <w:sz w:val="24"/>
          <w:szCs w:val="24"/>
          <w:highlight w:val="white"/>
          <w:rtl w:val="0"/>
        </w:rPr>
        <w:t xml:space="preserve">Рекламные конструкции должны иметь маркировку с указанием рекламораспространителя, номера его телефона, а также номер и дату разрешения на установку и эксплуатацию рекламной конструкции, срок действия разрешения на установку и эксплуатацию рекламной конструкции.</w:t>
      </w: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 На фасадах зданий, строений и сооружений размещать вывески (фон, буквы, рамки) в соответствии с колористическим и цветовым решением согласно каталогу цветов по RAL CLASSIC:</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1000 – зелёно-бежевый,</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1002 – жёлтый песок,</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1014 – слоновая кость,</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1016 – серо-жёлтый,</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1018 – жёлтый цинк,</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1019 – серый бежевый,</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1027 – жёлтое карри,</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1035 – перламутрово-бежевый,</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1036 – перламутрово-золотой,</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2000 – жёлто-оранжевый,</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2001 – красно-оранжевый,</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2003 – оранжевая пастель,</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2009 – оранжевый глубокий,</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2010 – оранжевый бледный,</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2011 – глубоко оранжевый,</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2012 – оранжевый лосось,</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2013 – перламутрово-оранжевый,</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3000 – красное пламя,</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3001 – красный,</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3009 – красная окись,</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3012 – бежево-красный,</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3015 – лёгкий розовый,</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3017 – роза,</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3027 – красная малина,</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3032 – перламутрово-рубиновый,</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4001 – красная сирень,</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4002 – фиолетовый красный,</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4003 – фиолетовый вереск,</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4005 – синяя сирень,</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4007 – фиолетово-пурпурный,</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4008 – фиолетовый,</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4009 – фиолетовая пастель,</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5000 – фиолетово-синий,</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5001 – зелёный синий,</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5003 – синий сапфир,</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5012 – лёгкий синий,</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5013 – синий кобальт,</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5014 – синяя птица,</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5018 – бирюзово-синий,</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5019 – синий капри,</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5020 – синий океан,</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5024 – синяя пастель,</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6000 – зелёный воск,</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6002 – зелёный лист,</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6003 – зелёная маслина,</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6019 – зелёная пастель,</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6026 – зелёный опал,</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6027 – легкий зелёный,</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6033 – бирюзовая мята,</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7000 – серая белка,</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7001 – серое серебро,</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7008 – хаки серый,</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7021 – серо-чёрный,</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9001 – сливочно-белый,</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9002 – серо-белый,</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9006 – белый алюминий,</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9007 – серый алюминий,</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9010 – белый,</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379.20000000000005"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9018 – белый папирус.</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379.20000000000005" w:lineRule="auto"/>
        <w:rPr/>
      </w:pPr>
      <w:r w:rsidDel="00000000" w:rsidR="00000000" w:rsidRPr="00000000">
        <w:rPr>
          <w:rtl w:val="0"/>
        </w:rPr>
      </w:r>
    </w:p>
    <w:p w:rsidR="00000000" w:rsidDel="00000000" w:rsidP="00000000" w:rsidRDefault="00000000" w:rsidRPr="00000000" w14:paraId="00000067">
      <w:pPr>
        <w:pBdr>
          <w:top w:color="auto" w:space="0" w:sz="0" w:val="none"/>
          <w:left w:color="auto" w:space="66" w:sz="0" w:val="none"/>
          <w:bottom w:color="auto" w:space="0" w:sz="0" w:val="none"/>
          <w:right w:color="auto" w:space="42" w:sz="0" w:val="none"/>
          <w:between w:color="auto" w:space="0" w:sz="0" w:val="none"/>
        </w:pBdr>
        <w:shd w:fill="ffffff" w:val="clear"/>
        <w:rPr>
          <w:sz w:val="20"/>
          <w:szCs w:val="20"/>
          <w:highlight w:val="white"/>
        </w:rPr>
      </w:pPr>
      <w:r w:rsidDel="00000000" w:rsidR="00000000" w:rsidRPr="00000000">
        <w:rPr>
          <w:sz w:val="20"/>
          <w:szCs w:val="20"/>
          <w:highlight w:val="white"/>
          <w:rtl w:val="0"/>
        </w:rPr>
        <w:t xml:space="preserve">Источники информации - </w:t>
      </w:r>
      <w:hyperlink r:id="rId6">
        <w:r w:rsidDel="00000000" w:rsidR="00000000" w:rsidRPr="00000000">
          <w:rPr>
            <w:color w:val="1155cc"/>
            <w:sz w:val="20"/>
            <w:szCs w:val="20"/>
            <w:highlight w:val="white"/>
            <w:u w:val="single"/>
            <w:rtl w:val="0"/>
          </w:rPr>
          <w:t xml:space="preserve">Электронный фонд правовых и нормативно-технических документов.</w:t>
        </w:r>
      </w:hyperlink>
      <w:r w:rsidDel="00000000" w:rsidR="00000000" w:rsidRPr="00000000">
        <w:rPr>
          <w:sz w:val="20"/>
          <w:szCs w:val="20"/>
          <w:highlight w:val="white"/>
          <w:rtl w:val="0"/>
        </w:rPr>
        <w:t xml:space="preserve"> </w:t>
      </w:r>
    </w:p>
    <w:p w:rsidR="00000000" w:rsidDel="00000000" w:rsidP="00000000" w:rsidRDefault="00000000" w:rsidRPr="00000000" w14:paraId="00000068">
      <w:pPr>
        <w:pBdr>
          <w:top w:color="auto" w:space="0" w:sz="0" w:val="none"/>
          <w:left w:color="auto" w:space="66" w:sz="0" w:val="none"/>
          <w:bottom w:color="auto" w:space="0" w:sz="0" w:val="none"/>
          <w:right w:color="auto" w:space="42" w:sz="0" w:val="none"/>
          <w:between w:color="auto" w:space="0" w:sz="0" w:val="none"/>
        </w:pBdr>
        <w:shd w:fill="ffffff" w:val="clear"/>
        <w:rPr>
          <w:sz w:val="20"/>
          <w:szCs w:val="20"/>
          <w:highlight w:val="white"/>
        </w:rPr>
      </w:pPr>
      <w:hyperlink r:id="rId7">
        <w:r w:rsidDel="00000000" w:rsidR="00000000" w:rsidRPr="00000000">
          <w:rPr>
            <w:color w:val="1155cc"/>
            <w:sz w:val="20"/>
            <w:szCs w:val="20"/>
            <w:highlight w:val="white"/>
            <w:u w:val="single"/>
            <w:rtl w:val="0"/>
          </w:rPr>
          <w:t xml:space="preserve">Официальный сайт администрации и городской Думы Краснодара.</w:t>
        </w:r>
      </w:hyperlink>
      <w:r w:rsidDel="00000000" w:rsidR="00000000" w:rsidRPr="00000000">
        <w:rPr>
          <w:rtl w:val="0"/>
        </w:rPr>
      </w:r>
    </w:p>
    <w:p w:rsidR="00000000" w:rsidDel="00000000" w:rsidP="00000000" w:rsidRDefault="00000000" w:rsidRPr="00000000" w14:paraId="00000069">
      <w:pPr>
        <w:pBdr>
          <w:top w:color="auto" w:space="0" w:sz="0" w:val="none"/>
          <w:left w:color="auto" w:space="66" w:sz="0" w:val="none"/>
          <w:bottom w:color="auto" w:space="0" w:sz="0" w:val="none"/>
          <w:right w:color="auto" w:space="42" w:sz="0" w:val="none"/>
          <w:between w:color="auto" w:space="0" w:sz="0" w:val="none"/>
        </w:pBdr>
        <w:shd w:fill="ffffff" w:val="clear"/>
        <w:rPr>
          <w:sz w:val="24"/>
          <w:szCs w:val="24"/>
          <w:highlight w:val="white"/>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line="379.20000000000005" w:lineRule="auto"/>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line="379.20000000000005" w:lineRule="auto"/>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cntd.ru/document/446128775" TargetMode="External"/><Relationship Id="rId7" Type="http://schemas.openxmlformats.org/officeDocument/2006/relationships/hyperlink" Target="https://krd.ru/dokumenty/dokumenty-gorodskoy-dumy/obschie-dokumenty/ofitsialnoe-opublikovanie/document-20072018122828.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